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6B73" w14:textId="7E775606" w:rsidR="007D6100" w:rsidRDefault="007D6100" w:rsidP="00BD4204">
      <w:pPr>
        <w:spacing w:line="360" w:lineRule="auto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A36C0D8" wp14:editId="7190C727">
            <wp:extent cx="762000" cy="857250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1F66" w14:textId="77777777" w:rsidR="007D6100" w:rsidRPr="00BD4204" w:rsidRDefault="007D6100" w:rsidP="007D6100">
      <w:pPr>
        <w:spacing w:line="360" w:lineRule="auto"/>
        <w:jc w:val="center"/>
        <w:rPr>
          <w:b/>
          <w:sz w:val="36"/>
          <w:szCs w:val="36"/>
        </w:rPr>
      </w:pPr>
      <w:r w:rsidRPr="00BD4204">
        <w:rPr>
          <w:b/>
          <w:sz w:val="36"/>
          <w:szCs w:val="36"/>
        </w:rPr>
        <w:t>TRIBUNALE di GENOVA</w:t>
      </w:r>
    </w:p>
    <w:p w14:paraId="561E7960" w14:textId="77777777" w:rsidR="007D6100" w:rsidRPr="00BD4204" w:rsidRDefault="007D6100" w:rsidP="007D6100">
      <w:pPr>
        <w:spacing w:line="360" w:lineRule="auto"/>
        <w:jc w:val="center"/>
        <w:rPr>
          <w:b/>
          <w:sz w:val="36"/>
          <w:szCs w:val="36"/>
        </w:rPr>
      </w:pPr>
      <w:r w:rsidRPr="00BD4204">
        <w:rPr>
          <w:b/>
          <w:sz w:val="36"/>
          <w:szCs w:val="36"/>
        </w:rPr>
        <w:t>Sezione VII CIVILE - FALLIMENTARE</w:t>
      </w:r>
    </w:p>
    <w:p w14:paraId="6A23323C" w14:textId="77777777" w:rsidR="007D6100" w:rsidRDefault="007D6100" w:rsidP="007D6100">
      <w:pPr>
        <w:spacing w:line="360" w:lineRule="auto"/>
        <w:jc w:val="center"/>
        <w:rPr>
          <w:b/>
        </w:rPr>
      </w:pPr>
      <w:r>
        <w:rPr>
          <w:b/>
        </w:rPr>
        <w:t>***</w:t>
      </w:r>
    </w:p>
    <w:p w14:paraId="11CF1A68" w14:textId="6C00A138" w:rsidR="002C03E3" w:rsidRPr="002C03E3" w:rsidRDefault="002C03E3" w:rsidP="007D6100">
      <w:pPr>
        <w:ind w:firstLine="708"/>
        <w:jc w:val="both"/>
        <w:rPr>
          <w:b/>
          <w:i/>
          <w:sz w:val="32"/>
          <w:szCs w:val="32"/>
        </w:rPr>
      </w:pPr>
      <w:r w:rsidRPr="002C03E3">
        <w:rPr>
          <w:b/>
          <w:i/>
          <w:sz w:val="32"/>
          <w:szCs w:val="32"/>
        </w:rPr>
        <w:t xml:space="preserve">Ai sigg. </w:t>
      </w:r>
      <w:r>
        <w:rPr>
          <w:b/>
          <w:i/>
          <w:sz w:val="32"/>
          <w:szCs w:val="32"/>
        </w:rPr>
        <w:t>D</w:t>
      </w:r>
      <w:r w:rsidRPr="002C03E3">
        <w:rPr>
          <w:b/>
          <w:i/>
          <w:sz w:val="32"/>
          <w:szCs w:val="32"/>
        </w:rPr>
        <w:t xml:space="preserve">elegati alle vendite </w:t>
      </w:r>
    </w:p>
    <w:p w14:paraId="318754AA" w14:textId="26F8DF19" w:rsidR="002C03E3" w:rsidRDefault="00BD4204" w:rsidP="007D6100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proofErr w:type="gramStart"/>
      <w:r>
        <w:rPr>
          <w:b/>
          <w:i/>
          <w:sz w:val="32"/>
          <w:szCs w:val="32"/>
        </w:rPr>
        <w:t>tramite</w:t>
      </w:r>
      <w:proofErr w:type="gramEnd"/>
      <w:r>
        <w:rPr>
          <w:b/>
          <w:i/>
          <w:sz w:val="32"/>
          <w:szCs w:val="32"/>
        </w:rPr>
        <w:t xml:space="preserve"> </w:t>
      </w:r>
      <w:r w:rsidR="00D27383">
        <w:rPr>
          <w:b/>
          <w:i/>
          <w:sz w:val="32"/>
          <w:szCs w:val="32"/>
        </w:rPr>
        <w:t xml:space="preserve">i </w:t>
      </w:r>
      <w:r>
        <w:rPr>
          <w:b/>
          <w:i/>
          <w:sz w:val="32"/>
          <w:szCs w:val="32"/>
        </w:rPr>
        <w:t>rispettivi OO.PP.)</w:t>
      </w:r>
      <w:r w:rsidR="00D27383">
        <w:rPr>
          <w:b/>
          <w:i/>
          <w:sz w:val="32"/>
          <w:szCs w:val="32"/>
        </w:rPr>
        <w:t xml:space="preserve">                                      </w:t>
      </w:r>
    </w:p>
    <w:p w14:paraId="6F35C55F" w14:textId="77777777" w:rsidR="00BD4204" w:rsidRPr="002C03E3" w:rsidRDefault="00BD4204" w:rsidP="007D6100">
      <w:pPr>
        <w:ind w:firstLine="708"/>
        <w:jc w:val="both"/>
        <w:rPr>
          <w:b/>
          <w:i/>
          <w:sz w:val="32"/>
          <w:szCs w:val="32"/>
        </w:rPr>
      </w:pPr>
    </w:p>
    <w:p w14:paraId="1C00CFCC" w14:textId="5619AA8D" w:rsidR="002C03E3" w:rsidRDefault="00BD4204" w:rsidP="00BD420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DISPOSIZIONE ORGANIZZATIVA n. 13/VII/2021</w:t>
      </w:r>
    </w:p>
    <w:p w14:paraId="69191733" w14:textId="029BE655" w:rsidR="00BD4204" w:rsidRPr="002C03E3" w:rsidRDefault="00BD4204" w:rsidP="00BD420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Pubblicazioni su Portale Vendite Pubbliche</w:t>
      </w:r>
    </w:p>
    <w:p w14:paraId="66308A44" w14:textId="77777777" w:rsidR="002C03E3" w:rsidRDefault="002C03E3" w:rsidP="007D6100">
      <w:pPr>
        <w:ind w:firstLine="708"/>
        <w:jc w:val="both"/>
        <w:rPr>
          <w:b/>
        </w:rPr>
      </w:pPr>
    </w:p>
    <w:p w14:paraId="31B0D27E" w14:textId="3C1798FF" w:rsidR="00BD4204" w:rsidRDefault="00BD4204" w:rsidP="00BD4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un passato riscontro amministrativo sui registri di cancelleria </w:t>
      </w:r>
      <w:r w:rsidR="00D27383">
        <w:rPr>
          <w:sz w:val="28"/>
          <w:szCs w:val="28"/>
        </w:rPr>
        <w:t xml:space="preserve">risultavano </w:t>
      </w:r>
      <w:proofErr w:type="gramStart"/>
      <w:r w:rsidR="00D27383">
        <w:rPr>
          <w:sz w:val="28"/>
          <w:szCs w:val="28"/>
        </w:rPr>
        <w:t xml:space="preserve">censite </w:t>
      </w:r>
      <w:r>
        <w:rPr>
          <w:sz w:val="28"/>
          <w:szCs w:val="28"/>
        </w:rPr>
        <w:t xml:space="preserve"> come</w:t>
      </w:r>
      <w:proofErr w:type="gramEnd"/>
      <w:r>
        <w:rPr>
          <w:sz w:val="28"/>
          <w:szCs w:val="28"/>
        </w:rPr>
        <w:t xml:space="preserve">  delegati alle vendite alcuni soggetti/imprese che gestiscono le aste immobiliari telematiche, in luogo degli effettivi professionisti a cui erano stati delegati gli incombenti espropriativi.</w:t>
      </w:r>
    </w:p>
    <w:p w14:paraId="6787FB7F" w14:textId="5E6F85F9" w:rsidR="00BD4204" w:rsidRDefault="00BD4204" w:rsidP="00BD4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Questo </w:t>
      </w:r>
      <w:r w:rsidR="00D27383">
        <w:rPr>
          <w:sz w:val="28"/>
          <w:szCs w:val="28"/>
        </w:rPr>
        <w:t xml:space="preserve">è accaduto anche </w:t>
      </w:r>
      <w:proofErr w:type="spellStart"/>
      <w:r w:rsidR="00D27383">
        <w:rPr>
          <w:sz w:val="28"/>
          <w:szCs w:val="28"/>
        </w:rPr>
        <w:t>perchè</w:t>
      </w:r>
      <w:proofErr w:type="spellEnd"/>
      <w:r w:rsidR="00D27383">
        <w:rPr>
          <w:sz w:val="28"/>
          <w:szCs w:val="28"/>
        </w:rPr>
        <w:t xml:space="preserve">, in forza di alcuni </w:t>
      </w:r>
      <w:r>
        <w:rPr>
          <w:sz w:val="28"/>
          <w:szCs w:val="28"/>
        </w:rPr>
        <w:t>non perspicui provvedimenti singoli, erano state autorizzate deleghe sostitutive per gli avvisi da pubblicare sul Portale delle Vendite Pubbliche in favore dei predetti Gestori;</w:t>
      </w:r>
      <w:r w:rsidR="00D27383">
        <w:rPr>
          <w:sz w:val="28"/>
          <w:szCs w:val="28"/>
        </w:rPr>
        <w:t xml:space="preserve"> ma</w:t>
      </w:r>
      <w:r>
        <w:rPr>
          <w:sz w:val="28"/>
          <w:szCs w:val="28"/>
        </w:rPr>
        <w:t xml:space="preserve"> è anche possibile che</w:t>
      </w:r>
      <w:r w:rsidR="00D27383">
        <w:rPr>
          <w:sz w:val="28"/>
          <w:szCs w:val="28"/>
        </w:rPr>
        <w:t xml:space="preserve"> in epoca più recente </w:t>
      </w:r>
      <w:r>
        <w:rPr>
          <w:sz w:val="28"/>
          <w:szCs w:val="28"/>
        </w:rPr>
        <w:t xml:space="preserve"> la “canalizzazione” della pubblicità facoltativa su un unico soggetto, prevista dal provvedimento di delega generalmente adottato dalla Sezione, </w:t>
      </w:r>
      <w:r w:rsidR="00D27383">
        <w:rPr>
          <w:sz w:val="28"/>
          <w:szCs w:val="28"/>
        </w:rPr>
        <w:t>abbia</w:t>
      </w:r>
      <w:r>
        <w:rPr>
          <w:sz w:val="28"/>
          <w:szCs w:val="28"/>
        </w:rPr>
        <w:t xml:space="preserve"> determinato incertezze sui limiti oggettivi delle collaborazioni esterne in materia pubblicitaria. </w:t>
      </w:r>
    </w:p>
    <w:p w14:paraId="25C706E8" w14:textId="288352EA" w:rsidR="00BD4204" w:rsidRDefault="00BD4204" w:rsidP="00BD4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rammenta perciò che </w:t>
      </w:r>
      <w:r w:rsidRPr="002B5BB9">
        <w:rPr>
          <w:b/>
          <w:sz w:val="28"/>
          <w:szCs w:val="28"/>
          <w:u w:val="single"/>
        </w:rPr>
        <w:t>le pubblicazioni sul PVP sono onere non trasferibile</w:t>
      </w:r>
      <w:r w:rsidR="00D27383">
        <w:rPr>
          <w:b/>
          <w:sz w:val="28"/>
          <w:szCs w:val="28"/>
          <w:u w:val="single"/>
        </w:rPr>
        <w:t xml:space="preserve"> a terzi</w:t>
      </w:r>
      <w:r w:rsidRPr="002B5BB9">
        <w:rPr>
          <w:b/>
          <w:sz w:val="28"/>
          <w:szCs w:val="28"/>
          <w:u w:val="single"/>
        </w:rPr>
        <w:t xml:space="preserve"> del singolo delegato</w:t>
      </w:r>
      <w:r>
        <w:rPr>
          <w:sz w:val="28"/>
          <w:szCs w:val="28"/>
        </w:rPr>
        <w:t xml:space="preserve">, il quale deve pertanto figurare in ogni fase dell’espropriazione quale unico referente dell’A.G. per le attività di cui all’art. 591 bis </w:t>
      </w:r>
      <w:proofErr w:type="spellStart"/>
      <w:r>
        <w:rPr>
          <w:sz w:val="28"/>
          <w:szCs w:val="28"/>
        </w:rPr>
        <w:t>c.p.c.</w:t>
      </w:r>
      <w:proofErr w:type="spellEnd"/>
      <w:r>
        <w:rPr>
          <w:sz w:val="28"/>
          <w:szCs w:val="28"/>
        </w:rPr>
        <w:t>; senza improprie “deleghe di deleghe”, che finirebbero per inquinare e rendere non completamente attendibil</w:t>
      </w:r>
      <w:r w:rsidR="00D27383">
        <w:rPr>
          <w:sz w:val="28"/>
          <w:szCs w:val="28"/>
        </w:rPr>
        <w:t>i</w:t>
      </w:r>
      <w:r>
        <w:rPr>
          <w:sz w:val="28"/>
          <w:szCs w:val="28"/>
        </w:rPr>
        <w:t xml:space="preserve"> gli elenchi di cui all’art. 169 bis delle </w:t>
      </w:r>
      <w:r w:rsidR="00D27383">
        <w:rPr>
          <w:sz w:val="28"/>
          <w:szCs w:val="28"/>
        </w:rPr>
        <w:t>D</w:t>
      </w:r>
      <w:r>
        <w:rPr>
          <w:sz w:val="28"/>
          <w:szCs w:val="28"/>
        </w:rPr>
        <w:t xml:space="preserve">isposizione di attuazione del </w:t>
      </w:r>
      <w:proofErr w:type="spellStart"/>
      <w:r>
        <w:rPr>
          <w:sz w:val="28"/>
          <w:szCs w:val="28"/>
        </w:rPr>
        <w:t>c.p.c.</w:t>
      </w:r>
      <w:proofErr w:type="spellEnd"/>
    </w:p>
    <w:p w14:paraId="1BF17C10" w14:textId="77777777" w:rsidR="00BD4204" w:rsidRDefault="00BD4204" w:rsidP="00BD4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richiama perciò l’attenzione dei Delegati al rigoroso rispetto delle disposizioni inerenti le attività </w:t>
      </w:r>
      <w:r w:rsidRPr="002B5BB9">
        <w:rPr>
          <w:b/>
          <w:sz w:val="28"/>
          <w:szCs w:val="28"/>
        </w:rPr>
        <w:t xml:space="preserve">da eseguire </w:t>
      </w:r>
      <w:r w:rsidRPr="002B5BB9">
        <w:rPr>
          <w:b/>
          <w:sz w:val="28"/>
          <w:szCs w:val="28"/>
          <w:u w:val="single"/>
        </w:rPr>
        <w:t>personalmente</w:t>
      </w:r>
      <w:r w:rsidRPr="002B5BB9">
        <w:rPr>
          <w:b/>
          <w:sz w:val="28"/>
          <w:szCs w:val="28"/>
        </w:rPr>
        <w:t xml:space="preserve"> sul PVP</w:t>
      </w:r>
      <w:r>
        <w:rPr>
          <w:sz w:val="28"/>
          <w:szCs w:val="28"/>
        </w:rPr>
        <w:t>, fermo restando che i Gestori scelti dagli stessi professionisti delegati sono senz’altro in condizione – all’occorrenza – di fornire il supporto informativo del caso, come già risulta dalle pubblicazioni di cui si ha notizia al riguardo.</w:t>
      </w:r>
    </w:p>
    <w:p w14:paraId="6B4ACFB9" w14:textId="77777777" w:rsidR="00BD4204" w:rsidRDefault="00BD4204" w:rsidP="00D27383">
      <w:pPr>
        <w:ind w:firstLine="567"/>
        <w:jc w:val="both"/>
        <w:rPr>
          <w:b/>
          <w:sz w:val="28"/>
          <w:szCs w:val="28"/>
        </w:rPr>
      </w:pPr>
      <w:r w:rsidRPr="00BD4204">
        <w:rPr>
          <w:b/>
          <w:sz w:val="28"/>
          <w:szCs w:val="28"/>
        </w:rPr>
        <w:t xml:space="preserve">Per il futuro, non saranno autorizzate deleghe di sorta per le attività specificamente affidate e “proprie” dei </w:t>
      </w:r>
      <w:proofErr w:type="gramStart"/>
      <w:r w:rsidRPr="00BD4204">
        <w:rPr>
          <w:b/>
          <w:sz w:val="28"/>
          <w:szCs w:val="28"/>
        </w:rPr>
        <w:t>delegati,  per</w:t>
      </w:r>
      <w:proofErr w:type="gramEnd"/>
      <w:r w:rsidRPr="00BD4204">
        <w:rPr>
          <w:b/>
          <w:sz w:val="28"/>
          <w:szCs w:val="28"/>
        </w:rPr>
        <w:t xml:space="preserve"> legge e/o in base alle istruzioni impartite dai Giudici dell’esecuzione.</w:t>
      </w:r>
    </w:p>
    <w:p w14:paraId="07336937" w14:textId="34937BC7" w:rsidR="00BD4204" w:rsidRPr="00D27383" w:rsidRDefault="00BD4204" w:rsidP="00BD420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383" w:rsidRPr="00D27383">
        <w:rPr>
          <w:b/>
          <w:i/>
          <w:sz w:val="28"/>
          <w:szCs w:val="28"/>
        </w:rPr>
        <w:t>Genova, 21 giugno 2021</w:t>
      </w:r>
      <w:r w:rsidRPr="00D27383">
        <w:rPr>
          <w:b/>
          <w:sz w:val="28"/>
          <w:szCs w:val="28"/>
        </w:rPr>
        <w:t xml:space="preserve">                          </w:t>
      </w:r>
    </w:p>
    <w:p w14:paraId="7AB258D9" w14:textId="5A58116F" w:rsidR="00BD4204" w:rsidRDefault="00BD4204" w:rsidP="00BD420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Il Presidente di Sezione</w:t>
      </w:r>
    </w:p>
    <w:p w14:paraId="270780EF" w14:textId="5110930E" w:rsidR="00BD4204" w:rsidRPr="00BD4204" w:rsidRDefault="00BD4204" w:rsidP="00BD4204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A12B19" wp14:editId="7FFC5066">
            <wp:extent cx="2085975" cy="9334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</w:t>
      </w:r>
    </w:p>
    <w:p w14:paraId="300FE5AB" w14:textId="77777777" w:rsidR="00BD4204" w:rsidRPr="00DF57C3" w:rsidRDefault="00BD4204" w:rsidP="00BD4204">
      <w:pPr>
        <w:ind w:firstLine="567"/>
        <w:jc w:val="both"/>
        <w:rPr>
          <w:sz w:val="28"/>
          <w:szCs w:val="28"/>
        </w:rPr>
      </w:pPr>
    </w:p>
    <w:p w14:paraId="47C92254" w14:textId="77777777" w:rsidR="005A0734" w:rsidRPr="00DF57C3" w:rsidRDefault="00D27383" w:rsidP="00DF57C3">
      <w:pPr>
        <w:jc w:val="both"/>
        <w:rPr>
          <w:sz w:val="28"/>
          <w:szCs w:val="28"/>
        </w:rPr>
      </w:pPr>
    </w:p>
    <w:sectPr w:rsidR="005A0734" w:rsidRPr="00DF57C3" w:rsidSect="00BD4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0"/>
    <w:rsid w:val="002C03E3"/>
    <w:rsid w:val="004E2411"/>
    <w:rsid w:val="005F2A8B"/>
    <w:rsid w:val="007D6100"/>
    <w:rsid w:val="00BA695C"/>
    <w:rsid w:val="00BD4204"/>
    <w:rsid w:val="00D13191"/>
    <w:rsid w:val="00D27383"/>
    <w:rsid w:val="00DF57C3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E541"/>
  <w15:chartTrackingRefBased/>
  <w15:docId w15:val="{C0CEE7C0-B479-4F74-A86C-6CB4D25E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1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D0C6A-F068-4A3B-B3B6-06A30383D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51C32-6515-4F53-A188-6DE365142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C2BBF-1700-4167-BAFE-8156BA2F3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2021-06-19T05:56:00Z</dcterms:created>
  <dcterms:modified xsi:type="dcterms:W3CDTF">2021-06-21T07:46:00Z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